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Ensembles and Advanced Classical ML: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XGBoost optional, SHAP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phase assessment for Ensembles and Advanced Classical ML: Assessment and Professional Report: Apply Ensembles and Advanced Classical ML: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Ensembles and Advanced Classical ML: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Ensembles and Advanced Classical ML: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Ensembles and Advanced Classical ML: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“Ensembles and Advanced Classical ML: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Ensembles and Advanced Classical ML: Assessment and Professional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XGBoost optional, SHAP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XGBoost optional, SHAP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Day_100_Ensembles_and_Advanced_Classical_ML_Assessment_a/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Beyond_ML_Internship\Day_100_Ensembles_and_Advanced_Classical_ML_Assessment_a\evidence, Beyond_ML_Internship\Day_100_Ensembles_and_Advanced_Classical_ML_Assessment_a\notebooks, Beyond_ML_Internship\Day_100_Ensembles_and_Advanced_Classical_ML_Assessment_a\src, Beyond_ML_Internship\Day_100_Ensembles_and_Advanced_Classical_ML_Assessment_a\data, Beyond_ML_Internship\Day_100_Ensembles_and_Advanced_Classical_ML_Assessment_a\output, Beyond_ML_Internship\Day_100_Ensembles_and_Advanced_Classical_ML_Assessment_a\report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Beyond_ML_Internship/Day_100_Ensembles_and_Advanced_Classical_ML_Assessment_a/{evidence,notebooks,src,data,output,report}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Ensembles and Advanced Classical ML: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XGBoost optional, SHAP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Ensembles and Advanced Classical ML: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`src/day_100_lab.py`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day_100_lab.py — Phase assessment: Ensembles and Advanced Classical ML: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100 practical starter for Ensembles and Advanced Classical ML: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'Ensembles and Advanced Classical ML: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Ensembles and Advanced Classical ML: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Ensembles and Advanced Classical ML: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(Phase assessment) on Ensembles and Advanced Classical ML: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