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112 STUDENT HANDBOOK</w:t>
      </w:r>
    </w:p>
    <w:p>
      <w:pPr>
        <w:jc w:val="center"/>
      </w:pPr>
      <w:r>
        <w:rPr>
          <w:b/>
          <w:color w:val="1E293B"/>
          <w:sz w:val="28"/>
        </w:rPr>
        <w:t>Text Provenance Normalization And Tokenization: Practical Implementation and Verification</w:t>
      </w:r>
    </w:p>
    <w:p>
      <w:pPr>
        <w:spacing w:after="120"/>
      </w:pPr>
      <w:r>
        <w:rPr>
          <w:b w:val="0"/>
          <w:sz w:val="22"/>
        </w:rPr>
        <w:t>Guided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spaCy/NLTK, sentence-transformers optional,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112 objective  Complete the guided lab for Text Provenance Normalization And Tokenization: Practical Implementation and Verification: Apply Text Provenance Normalization And Tokenization: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Text Provenance Normalization And Tokenization: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Text Provenance Normalization And Tokenization: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Text Provenance Normalization And Tokenization: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guided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“Text Provenance Normalization And Tokenization: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Text Provenance Normalization And Tokenization: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spaCy/NLTK, sentence-transformers optional,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spaCy/NLTK, sentence-transformers optional,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Day_112_Text_Provenance_Normalization_And_Tokenization_P/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Beyond_ML_Internship\Day_112_Text_Provenance_Normalization_And_Tokenization_P\evidence, Beyond_ML_Internship\Day_112_Text_Provenance_Normalization_And_Tokenization_P\notebooks, Beyond_ML_Internship\Day_112_Text_Provenance_Normalization_And_Tokenization_P\src, Beyond_ML_Internship\Day_112_Text_Provenance_Normalization_And_Tokenization_P\data, Beyond_ML_Internship\Day_112_Text_Provenance_Normalization_And_Tokenization_P\output, Beyond_ML_Internship\Day_112_Text_Provenance_Normalization_And_Tokenization_P\report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Beyond_ML_Internship/Day_112_Text_Provenance_Normalization_And_Tokenization_P/{evidence,notebooks,src,data,output,report}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lab: Text Provenance Normalization And Tokenization: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spaCy/NLTK, sentence-transformers optional,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Text Provenance Normalization And Tokenization: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day_112_lab.py — Guided lab: Text Provenance Normalization And Tokenization: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112 practical starter for Text Provenance Normalization And Tokenization: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'Text Provenance Normalization And Tokenization: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Text Provenance Normalization And Tokenization: Practical Implementation and Verification</w:t>
      </w:r>
    </w:p>
    <w:p>
      <w:pPr>
        <w:pStyle w:val="ListBullet"/>
      </w:pPr>
      <w:r>
        <w:rPr>
          <w:b w:val="0"/>
          <w:sz w:val="22"/>
        </w:rPr>
        <w:t>Guided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Text Provenance Normalization And Tokenization: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112 (Guided lab) on Text Provenance Normalization And Tokenization: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