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130 STUDENT HANDBOOK</w:t>
      </w:r>
    </w:p>
    <w:p>
      <w:pPr>
        <w:jc w:val="center"/>
      </w:pPr>
      <w:r>
        <w:rPr>
          <w:b/>
          <w:color w:val="1E293B"/>
          <w:sz w:val="28"/>
        </w:rPr>
        <w:t>Computer Vision: Assessment and Professional Report</w:t>
      </w:r>
    </w:p>
    <w:p>
      <w:pPr>
        <w:spacing w:after="120"/>
      </w:pPr>
      <w:r>
        <w:rPr>
          <w:b w:val="0"/>
          <w:sz w:val="22"/>
        </w:rPr>
        <w:t>Phase assessment.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assessment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OpenCV, scikit-image, PyTorch/TensorFlow,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130 objective  Complete the phase assessment for Computer Vision: Assessment and Professional Report: Apply Computer Vision: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Computer Vision: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Computer Vision: Assessment and Professional Report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Computer Vision: Assessment and Professional Report.</w:t>
      </w:r>
    </w:p>
    <w:p>
      <w:pPr>
        <w:pStyle w:val="ListBullet"/>
      </w:pPr>
      <w:r>
        <w:rPr>
          <w:b w:val="0"/>
          <w:sz w:val="22"/>
        </w:rPr>
        <w:t>Implement or perform the phase assessment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“Computer Vision: Assessment and Professional Report”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Computer Vision: Assessment and Professional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OpenCV, scikit-image, PyTorch/TensorFlow,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OpenCV, scikit-image, PyTorch/TensorFlow,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Day_130_Computer_Vision_Assessment_and_Professional_Repo/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Beyond_ML_Internship\Day_130_Computer_Vision_Assessment_and_Professional_Repo\evidence, Beyond_ML_Internship\Day_130_Computer_Vision_Assessment_and_Professional_Repo\notebooks, Beyond_ML_Internship\Day_130_Computer_Vision_Assessment_and_Professional_Repo\src, Beyond_ML_Internship\Day_130_Computer_Vision_Assessment_and_Professional_Repo\data, Beyond_ML_Internship\Day_130_Computer_Vision_Assessment_and_Professional_Repo\output, Beyond_ML_Internship\Day_130_Computer_Vision_Assessment_and_Professional_Repo\report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Beyond_ML_Internship/Day_130_Computer_Vision_Assessment_and_Professional_Repo/{evidence,notebooks,src,data,output,report}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assessment: Computer Vision: Assessment and Professional Report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OpenCV, scikit-image, PyTorch/TensorFlow,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Computer Vision: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`src/day_130_lab.py`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day_130_lab.py — Phase assessment: Computer Vision: Assessment and Professional Report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130 practical starter for Computer Vision: Assessment and Professional Report.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'Computer Vision: Assessment and Professional Report')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assessment')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Computer Vision: Assessment and Professional Report</w:t>
      </w:r>
    </w:p>
    <w:p>
      <w:pPr>
        <w:pStyle w:val="ListBullet"/>
      </w:pPr>
      <w:r>
        <w:rPr>
          <w:b w:val="0"/>
          <w:sz w:val="22"/>
        </w:rPr>
        <w:t>Phase assessment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Computer Vision: Assessment and Professional Report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130 (Phase assessment) on Computer Vision: Assessment and Professional Report.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