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Writing a Secure Dockerfile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laboratory for Writing a Secure Dockerfile: Containerize a minimal application with pinned base and non-root runtime.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Containerize a minimal application with pinned base and non-root runtime.</w:t>
      </w:r>
    </w:p>
    <w:p>
      <w:pPr>
        <w:pStyle w:val="ListBullet"/>
      </w:pPr>
      <w:r>
        <w:rPr>
          <w:b w:val="0"/>
          <w:sz w:val="22"/>
        </w:rPr>
        <w:t>Explain Writing a Secure Dockerfile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Writing a Secure Dockerfile.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“Writing a Secure Dockerfile”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Day_44_Writing_a_Secure_Dockerfile/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Beyond_Cloud_Internship\Day_44_Writing_a_Secure_Dockerfile\evidence, Beyond_Cloud_Internship\Day_44_Writing_a_Secure_Dockerfile\notebooks, Beyond_Cloud_Internship\Day_44_Writing_a_Secure_Dockerfile\src, Beyond_Cloud_Internship\Day_44_Writing_a_Secure_Dockerfile\data, Beyond_Cloud_Internship\Day_44_Writing_a_Secure_Dockerfile\output, Beyond_Cloud_Internship\Day_44_Writing_a_Secure_Dockerfile\report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Beyond_Cloud_Internship/Day_44_Writing_a_Secure_Dockerfile/{evidence,notebooks,src,data,output,report}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Writing a Secure Dockerfile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43 prerequisites and read the complete Day 44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Day_044_writing_a_secure_dockerfile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Containerize a minimal application with pinned base and non-root runtime.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laboratory: Writing a Secure Dockerfile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Writing a Secure Dockerfile.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'Writing a Secure Dockerfile')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Writing a Secure Dockerfile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Writing a Secure Dockerfile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laboratory) on Writing a Secure Dockerfile.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