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Instance Metadata and SSRF Risk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Instance Metadata and SSRF Risk: Demonstrate metadata-risk controls using a harmless local mock service.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Demonstrate metadata-risk controls using a harmless local mock service.</w:t>
      </w:r>
    </w:p>
    <w:p>
      <w:pPr>
        <w:pStyle w:val="ListBullet"/>
      </w:pPr>
      <w:r>
        <w:rPr>
          <w:b w:val="0"/>
          <w:sz w:val="22"/>
        </w:rPr>
        <w:t>Explain Instance Metadata and SSRF Risk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Instance Metadata and SSRF Risk.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“Instance Metadata and SSRF Risk”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local cloud emulator,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Day_85_Instance_Metadata_and_SSRF_Risk/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Beyond_Cloud_Internship\Day_85_Instance_Metadata_and_SSRF_Risk\evidence, Beyond_Cloud_Internship\Day_85_Instance_Metadata_and_SSRF_Risk\notebooks, Beyond_Cloud_Internship\Day_85_Instance_Metadata_and_SSRF_Risk\src, Beyond_Cloud_Internship\Day_85_Instance_Metadata_and_SSRF_Risk\data, Beyond_Cloud_Internship\Day_85_Instance_Metadata_and_SSRF_Risk\output, Beyond_Cloud_Internship\Day_85_Instance_Metadata_and_SSRF_Risk\report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Beyond_Cloud_Internship/Day_85_Instance_Metadata_and_SSRF_Risk/{evidence,notebooks,src,data,output,report}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Instance Metadata and SSRF Risk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84 prerequisites and read the complete Day 85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Day_085_instance_metadata_and_ssrf_risk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Demonstrate metadata-risk controls using a harmless local mock service.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Applied practice: Instance Metadata and SSRF Risk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Instance Metadata and SSRF Risk.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'Instance Metadata and SSRF Risk')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Instance Metadata and SSRF Risk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Instance Metadata and SSRF Risk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Instance Metadata and SSRF Risk.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