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Load Balancing and Health Checks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applied practice for Load Balancing and Health Checks: Distribute local requests and remove an unhealthy backend.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Distribute local requests and remove an unhealthy backend.</w:t>
      </w:r>
    </w:p>
    <w:p>
      <w:pPr>
        <w:pStyle w:val="ListBullet"/>
      </w:pPr>
      <w:r>
        <w:rPr>
          <w:b w:val="0"/>
          <w:sz w:val="22"/>
        </w:rPr>
        <w:t>Explain Load Balancing and Health Checks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Balancing and Health Checks.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Balancing and Health Checks”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Balancing and Health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local cloud emulator,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Day_86_Load_Balancing_and_Health_Checks/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Beyond_Cloud_Internship\Day_86_Load_Balancing_and_Health_Checks\evidence, Beyond_Cloud_Internship\Day_86_Load_Balancing_and_Health_Checks\notebooks, Beyond_Cloud_Internship\Day_86_Load_Balancing_and_Health_Checks\src, Beyond_Cloud_Internship\Day_86_Load_Balancing_and_Health_Checks\data, Beyond_Cloud_Internship\Day_86_Load_Balancing_and_Health_Checks\output, Beyond_Cloud_Internship\Day_86_Load_Balancing_and_Health_Checks\report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Beyond_Cloud_Internship/Day_86_Load_Balancing_and_Health_Checks/{evidence,notebooks,src,data,output,report}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Load Balancing and Health Checks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85 prerequisites and read the complete Day 86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Day_086_load_balancing_and_health_checks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Distribute local requests and remove an unhealthy backend.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Applied practice: Load Balancing and Health Checks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Load Balancing and Health Checks.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 Balancing and Health Checks')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Balancing and Health Checks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Balancing and Health Checks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(Applied practice) on Load Balancing and Health Checks.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