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Architecture and FinOps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Architecture and FinOps Assessment Project: Deliver a costed target architecture and prioritized migration roadmap.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costed target architecture and prioritized migration roadmap.</w:t>
      </w:r>
    </w:p>
    <w:p>
      <w:pPr>
        <w:pStyle w:val="ListBullet"/>
      </w:pPr>
      <w:r>
        <w:rPr>
          <w:b w:val="0"/>
          <w:sz w:val="22"/>
        </w:rPr>
        <w:t>Explain Architecture and FinOps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Architecture and FinOps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“Architecture and FinOps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Architecture and FinOps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Day_170_Architecture_and_FinOps_Assessment_Project/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Beyond_Cloud_Internship\Day_170_Architecture_and_FinOps_Assessment_Project\evidence, Beyond_Cloud_Internship\Day_170_Architecture_and_FinOps_Assessment_Project\notebooks, Beyond_Cloud_Internship\Day_170_Architecture_and_FinOps_Assessment_Project\src, Beyond_Cloud_Internship\Day_170_Architecture_and_FinOps_Assessment_Project\data, Beyond_Cloud_Internship\Day_170_Architecture_and_FinOps_Assessment_Project\output, Beyond_Cloud_Internship\Day_170_Architecture_and_FinOps_Assessment_Project\report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Beyond_Cloud_Internship/Day_170_Architecture_and_FinOps_Assessment_Project/{evidence,notebooks,src,data,output,report}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Architecture and FinOps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169 prerequisites and read the complete Day 170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Day_170_architecture_and_finops_assessment_project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Deliver a costed target architecture and prioritized migration roadmap.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Assessment and presentation: Architecture and FinOps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Architecture and FinOps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'Architecture and FinOps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Architecture and FinOps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Architecture and FinOps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Architecture and FinOps Assessment Project.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