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Risk Identification And Treatment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Risk Identification And Treatment — Architecture and Components: Explain and demonstrate risk identification and treatment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risk identification and treatment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Risk Identification And Treatment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Risk Identification And Treatment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“Risk Identification And Treatment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Day_43_Risk_Identification_And_Treatment_Architecture_a/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Beyond_CyberSecurity_Internship\Day_43_Risk_Identification_And_Treatment_Architecture_a\evidence, Beyond_CyberSecurity_Internship\Day_43_Risk_Identification_And_Treatment_Architecture_a\notebooks, Beyond_CyberSecurity_Internship\Day_43_Risk_Identification_And_Treatment_Architecture_a\src, Beyond_CyberSecurity_Internship\Day_43_Risk_Identification_And_Treatment_Architecture_a\data, Beyond_CyberSecurity_Internship\Day_43_Risk_Identification_And_Treatment_Architecture_a\output, Beyond_CyberSecurity_Internship\Day_43_Risk_Identification_And_Treatment_Architecture_a\report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Beyond_CyberSecurity_Internship/Day_43_Risk_Identification_And_Treatment_Architecture_a/{evidence,notebooks,src,data,output,report}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Risk Identification And Treatment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Day_043_risk_identification_and_treatment__architecture_and_components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risk identification and treatment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Guided laboratory: Risk Identification And Treatment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Risk Identification And Treatment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'Risk Identification And Treatment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Risk Identification And Treatment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Risk Identification And Treatment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Risk Identification And Treatment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