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Risk Identification And Treatment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guided laboratory for Risk Identification And Treatment — Configuration Lab: Complete a supervised applied lab for risk identification and treatment,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risk identification and treatment,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Risk Identification And Treatment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Risk Identification And Treatment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“Risk Identification And Treatment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NIST/ISO guidance, spreadsheets, diagramming tools,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Day_44_Risk_Identification_And_Treatment_Configuration_/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Beyond_CyberSecurity_Internship\Day_44_Risk_Identification_And_Treatment_Configuration_\evidence, Beyond_CyberSecurity_Internship\Day_44_Risk_Identification_And_Treatment_Configuration_\notebooks, Beyond_CyberSecurity_Internship\Day_44_Risk_Identification_And_Treatment_Configuration_\src, Beyond_CyberSecurity_Internship\Day_44_Risk_Identification_And_Treatment_Configuration_\data, Beyond_CyberSecurity_Internship\Day_44_Risk_Identification_And_Treatment_Configuration_\output, Beyond_CyberSecurity_Internship\Day_44_Risk_Identification_And_Treatment_Configuration_\report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Beyond_CyberSecurity_Internship/Day_44_Risk_Identification_And_Treatment_Configuration_/{evidence,notebooks,src,data,output,report}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Risk Identification And Treatment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44 scope, prerequisite from Day 43,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NIST/ISO guidance, spreadsheets, diagramming tools,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Day_044_risk_identification_and_treatment__configuration_lab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risk identification and treatment,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day_44_lab.py — Guided laboratory: Risk Identification And Treatment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44 practical starter for Risk Identification And Treatment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'Risk Identification And Treatment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Risk Identification And Treatment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Risk Identification And Treatment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(Guided laboratory) on Risk Identification And Treatment — Configuration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