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119 STUDENT HANDBOOK</w:t>
      </w:r>
    </w:p>
    <w:p>
      <w:pPr>
        <w:jc w:val="center"/>
      </w:pPr>
      <w:r>
        <w:rPr>
          <w:b/>
          <w:color w:val="1E293B"/>
          <w:sz w:val="28"/>
        </w:rPr>
        <w:t>Unsupervised Learning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119 objective  Complete the integration and documentation for Unsupervised Learning — Integration, Documentation, and Handover: Integrate the four unsupervised learning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unsupervised learning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Unsupervised Learning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Unsupervised Learning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“Unsupervised Learning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Unsupervised Learning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Day_119_Unsupervised_Learning_Integration_Documentation_/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Beyond_DataScience_Internship\Day_119_Unsupervised_Learning_Integration_Documentation_\evidence, Beyond_DataScience_Internship\Day_119_Unsupervised_Learning_Integration_Documentation_\notebooks, Beyond_DataScience_Internship\Day_119_Unsupervised_Learning_Integration_Documentation_\src, Beyond_DataScience_Internship\Day_119_Unsupervised_Learning_Integration_Documentation_\data, Beyond_DataScience_Internship\Day_119_Unsupervised_Learning_Integration_Documentation_\output, Beyond_DataScience_Internship\Day_119_Unsupervised_Learning_Integration_Documentation_\report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Beyond_DataScience_Internship/Day_119_Unsupervised_Learning_Integration_Documentation_/{evidence,notebooks,src,data,output,report}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Unsupervised Learning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119 scope, prerequisite from Day 118,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Day_119_unsupervised_learning__integration_documentation_and_handover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unsupervised learning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day_119_lab.py — Integration and documentation: Unsupervised Learning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119 practical starter for Unsupervised Learning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'Unsupervised Learning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Unsupervised Learning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Unsupervised Learning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119 (Integration and documentation) on Unsupervised Learning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