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2 STUDENT HANDBOOK</w:t>
      </w:r>
    </w:p>
    <w:p>
      <w:pPr>
        <w:jc w:val="center"/>
      </w:pPr>
      <w:r>
        <w:rPr>
          <w:b/>
          <w:color w:val="1E293B"/>
          <w:sz w:val="28"/>
        </w:rPr>
        <w:t>Professional Channel Language And Call Signs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Beyond interco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 objective  Complete the concept development for Professional Channel Language And Call Signs — Applied Baseline Lab: Complete a supervised applied lab for professional channel language and call signs,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professional channel language and call signs,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Professional Channel Language And Call Signs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Professional Channel Language And Call Signs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“Professional Channel Language And Call Signs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Professional Channel Language And Call Signs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Beyond intercom equipment, PPE, battery/charger tools, checklists.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Beyond intercom equipment, PPE, battery/charger tools, checklists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Day_02_Professional_Channel_Language_And_Call_Signs_App/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Professional Channel Language And Call Signs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 scope, prerequisite from Day 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Beyond intercom equipment, PPE, battery/charger tools, checklists.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Day_002_professional_channel_language_and_call_signs__applied_baseline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professional channel language and call signs,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Professional Channel Language And Call Signs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"Professional Channel Language And Call Signs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Professional Channel Language And Call Signs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Professional Channel Language And Call Signs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 (Concept development) on Professional Channel Language And Call Signs — Applied Baseline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