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6 STUDENT HANDBOOK</w:t>
      </w:r>
    </w:p>
    <w:p>
      <w:pPr>
        <w:jc w:val="center"/>
      </w:pPr>
      <w:r>
        <w:rPr>
          <w:b/>
          <w:color w:val="1E293B"/>
          <w:sz w:val="28"/>
        </w:rPr>
        <w:t>Asset Custody Batteries And Charging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Beyond interco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 objective  Complete the operations and measurement for Asset Custody Batteries And Charging — Operations and Measurement: Complete a supervised applied lab for asset custody batteries and charging,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asset custody batteries and charging,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Asset Custody Batteries And Charging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Asset Custody Batteries And Charging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“Asset Custody Batteries And Charging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Asset Custody Batteries And Charging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Beyond intercom equipment, PPE, battery/charger tools,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Beyond intercom equipment, PPE, battery/charger tools, checklists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Day_06_Asset_Custody_Batteries_And_Charging_Operations_/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Asset Custody Batteries And Charging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 scope, prerequisite from Day 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Beyond intercom equipment, PPE, battery/charger tools,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Day_006_asset_custody_batteries_and_charging__operations_and_measureme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asset custody batteries and charging,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Asset Custody Batteries And Charging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"Asset Custody Batteries And Charging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Asset Custody Batteries And Charging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Asset Custody Batteries And Charging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 (Operations and measurement) on Asset Custody Batteries And Charging — Operations and Measurement.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