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 STUDENT HANDBOOK</w:t>
      </w:r>
    </w:p>
    <w:p>
      <w:pPr>
        <w:jc w:val="center"/>
      </w:pPr>
      <w:r>
        <w:rPr>
          <w:b/>
          <w:color w:val="1E293B"/>
          <w:sz w:val="28"/>
        </w:rPr>
        <w:t>Sidetone Nulling And Level Concepts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 objective  Complete the troubleshooting laboratory for Sidetone Nulling And Level Concepts — Troubleshooting and Failure Modes: Explain and demonstrate sidetone nulling and level concepts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sidetone nulling and level concepts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Sidetone Nulling And Level Concepts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Sidetone Nulling And Level Concepts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“Sidetone Nulling And Level Concepts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Sidetone Nulling And Level Concepts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Day_17_Sidetone_Nulling_And_Level_Concepts_Troubleshoot/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Sidetone Nulling And Level Concepts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 scope, prerequisite from Day 16,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Day_017_sidetone_nulling_and_level_concepts__troubleshooting_and_failu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sidetone nulling and level concepts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Sidetone Nulling And Level Concepts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"Sidetone Nulling And Level Concepts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Sidetone Nulling And Level Concepts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Sidetone Nulling And Level Concepts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 (Troubleshooting laboratory) on Sidetone Nulling And Level Concepts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