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24 STUDENT HANDBOOK</w:t>
      </w:r>
    </w:p>
    <w:p>
      <w:pPr>
        <w:jc w:val="center"/>
      </w:pPr>
      <w:r>
        <w:rPr>
          <w:b/>
          <w:color w:val="1E293B"/>
          <w:sz w:val="28"/>
        </w:rPr>
        <w:t>Ethernet Fiber And Adapter Identification — Configuration Lab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equipment, laptop-based communication tools, intercom cable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24 objective  Complete the guided laboratory for Ethernet Fiber And Adapter Identification — Configuration Lab: Complete a supervised applied lab for Ethernet fiber and adapter identification,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Ethernet fiber and adapter identification,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Ethernet Fiber And Adapter Identification — Configuration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Ethernet Fiber And Adapter Identification — Configuration Lab.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“Ethernet Fiber And Adapter Identification — Configuration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Ethernet Fiber And Adapter Identification — Configuration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23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equipment, laptop-based communication tools, intercom cables, cable tester, label tools, PPE.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equipment, laptop-based communication tools, intercom cables, cable tester, label tools, PPE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Day_24_Ethernet_Fiber_And_Adapter_Identification_Config/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Ethernet Fiber And Adapter Identification — Configuration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24 scope, prerequisite from Day 23,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wired/wireless intercom equipment, laptop-based communication tools, intercom cables, cable tester, label tools, PPE.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Day_024_ethernet_fiber_and_adapter_identification__configuration_lab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Ethernet fiber and adapter identification,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24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Ethernet Fiber And Adapter Identification — Configuration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Guided laboratory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"Ethernet Fiber And Adapter Identification — Configuration Lab"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day-24_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report/day-24_technical_report.md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Ethernet Fiber And Adapter Identification — Configuration Lab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Ethernet Fiber And Adapter Identification — Configuration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24 (Guided laboratory) on Ethernet Fiber And Adapter Identification — Configuration Lab.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