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34 STUDENT HANDBOOK</w:t>
      </w:r>
    </w:p>
    <w:p>
      <w:pPr>
        <w:jc w:val="center"/>
      </w:pPr>
      <w:r>
        <w:rPr>
          <w:b/>
          <w:color w:val="1E293B"/>
          <w:sz w:val="28"/>
        </w:rPr>
        <w:t>Channels Beltpacks And Call Signaling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wired partylin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34 objective  Complete the guided laboratory for Channels Beltpacks And Call Signaling — Configuration Lab: Complete a supervised applied lab for channels beltpacks and call signaling,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channels beltpacks and call signaling,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Channels Beltpacks And Call Signaling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Channels Beltpacks And Call Signaling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“Channels Beltpacks And Call Signaling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wired partyline system, beltpacks, headsets, multimeter where approved.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wired partyline system, beltpacks, headsets, multimeter where approved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Day_34_Channels_Beltpacks_And_Call_Signaling_Configurat/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Channels Beltpacks And Call Signaling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34 scope, prerequisite from Day 33,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wired partyline system, beltpacks, headsets, multimeter where approved.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Day_034_channels_beltpacks_and_call_signaling__configuration_lab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channels beltpacks and call signaling,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Channels Beltpacks And Call Signaling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"Channels Beltpacks And Call Signaling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Channels Beltpacks And Call Signaling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Channels Beltpacks And Call Signaling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34 (Guided laboratory) on Channels Beltpacks And Call Signaling — Configuration Lab.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