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45 STUDENT HANDBOOK</w:t>
      </w:r>
    </w:p>
    <w:p>
      <w:pPr>
        <w:jc w:val="center"/>
      </w:pPr>
      <w:r>
        <w:rPr>
          <w:b/>
          <w:color w:val="1E293B"/>
          <w:sz w:val="28"/>
        </w:rPr>
        <w:t>Beltpack Pairing Groups And Permissions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wireless inter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45 objective  Complete the applied practice for Beltpack Pairing Groups And Permissions — Design and Technique: Explain and demonstrate beltpack pairing groups and permissions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beltpack pairing groups and permissions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Beltpack Pairing Groups And Permissions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Beltpack Pairing Groups And Permissions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“Beltpack Pairing Groups And Permissions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wireless intercom, spectrum/coordination tools, antennas, battery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wireless intercom, spectrum/coordination tools, antennas, battery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Day_45_Beltpack_Pairing_Groups_And_Permissions_Design_a/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Beltpack Pairing Groups And Permissions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45 scope, prerequisite from Day 44,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wireless intercom, spectrum/coordination tools, antennas, battery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Day_045_beltpack_pairing_groups_and_permissions__design_and_technique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beltpack pairing groups and permissions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Beltpack Pairing Groups And Permissions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"Beltpack Pairing Groups And Permissions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Beltpack Pairing Groups And Permissions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Beltpack Pairing Groups And Permissions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45 (Applied practice) on Beltpack Pairing Groups And Permissions — Design and Technique.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