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49 STUDENT HANDBOOK</w:t>
      </w:r>
    </w:p>
    <w:p>
      <w:pPr>
        <w:jc w:val="center"/>
      </w:pPr>
      <w:r>
        <w:rPr>
          <w:b/>
          <w:color w:val="1E293B"/>
          <w:sz w:val="28"/>
        </w:rPr>
        <w:t>Wireless Intercom Fundamentals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wireless inter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49 objective  Complete the integration and documentation for Wireless Intercom Fundamentals — Integration, Documentation, and Handover: Integrate the four wireless intercom fundamentals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wireless intercom fundamentals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Wireless Intercom Fundamentals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Wireless Intercom Fundamentals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“Wireless Intercom Fundamentals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wireless intercom, spectrum/coordination tools, antennas, battery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wireless intercom, spectrum/coordination tools, antennas, battery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Day_49_Wireless_Intercom_Fundamentals_Integration_Docum/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Wireless Intercom Fundamentals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49 scope, prerequisite from Day 48,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wireless intercom, spectrum/coordination tools, antennas, battery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Day_049_wireless_intercom_fundamentals__integration_documentation_and_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wireless intercom fundamentals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Wireless Intercom Fundamentals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"Wireless Intercom Fundamentals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Wireless Intercom Fundamentals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Wireless Intercom Fundamentals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49 (Integration and documentation) on Wireless Intercom Fundamentals — Integration, Documentation, and Handover.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