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50 STUDENT HANDBOOK</w:t>
      </w:r>
    </w:p>
    <w:p>
      <w:pPr>
        <w:jc w:val="center"/>
      </w:pPr>
      <w:r>
        <w:rPr>
          <w:b/>
          <w:color w:val="1E293B"/>
          <w:sz w:val="28"/>
        </w:rPr>
        <w:t>Wireless Intercom Fundamentals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wireless inter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50 objective  Complete the assessment and presentation for Wireless Intercom Fundamentals — Assessment Project: Plan, execute, verify, present, and safely close an assessment project covering the complete wireless intercom fundamentals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wireless intercom fundamentals phase.</w:t>
      </w:r>
    </w:p>
    <w:p>
      <w:pPr>
        <w:pStyle w:val="ListBullet"/>
      </w:pPr>
      <w:r>
        <w:rPr>
          <w:b w:val="0"/>
          <w:sz w:val="22"/>
        </w:rPr>
        <w:t>Explain Wireless Intercom Fundamentals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Wireless Intercom Fundamentals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“Wireless Intercom Fundamentals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wireless intercom, spectrum/coordination tools, antennas, battery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wireless intercom, spectrum/coordination tools, antennas, battery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Day_50_Wireless_Intercom_Fundamentals_Assessment_Projec/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Wireless Intercom Fundamentals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50 scope, prerequisite from Day 49,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wireless intercom, spectrum/coordination tools, antennas, battery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Day_050_wireless_intercom_fundamentals__assessment_project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wireless intercom fundamentals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Wireless Intercom Fundamentals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"Wireless Intercom Fundamentals — Assessment Project"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Wireless Intercom Fundamentals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Wireless Intercom Fundamentals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50 (Assessment and presentation) on Wireless Intercom Fundamentals — Assessment Project.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