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54 STUDENT HANDBOOK</w:t>
      </w:r>
    </w:p>
    <w:p>
      <w:pPr>
        <w:jc w:val="center"/>
      </w:pPr>
      <w:r>
        <w:rPr>
          <w:b/>
          <w:color w:val="1E293B"/>
          <w:sz w:val="28"/>
        </w:rPr>
        <w:t>Crosspoints Conferences And Ifbs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matrix interco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54 objective  Complete the guided laboratory for Crosspoints Conferences And Ifbs — Configuration Lab: Complete a supervised applied lab for crosspoints conferences and IFBs,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crosspoints conferences and IFBs,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Crosspoints Conferences And Ifbs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Crosspoints Conferences And Ifbs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“Crosspoints Conferences And Ifbs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Crosspoints Conferences And Ifbs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matrix intercom/simulator, configuration software, panels,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matrix intercom/simulator, configuration software, panels,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Day_54_Crosspoints_Conferences_And_Ifbs_Configuration_L/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Crosspoints Conferences And Ifbs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54 scope, prerequisite from Day 53,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matrix intercom/simulator, configuration software, panels,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Day_054_crosspoints_conferences_and_ifbs__configuration_lab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crosspoints conferences and IFBs,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Crosspoints Conferences And Ifbs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"Crosspoints Conferences And Ifbs — Configuration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Crosspoints Conferences And Ifbs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Crosspoints Conferences And Ifbs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54 (Guided laboratory) on Crosspoints Conferences And Ifbs — Configuration Lab.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