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77 STUDENT HANDBOOK</w:t>
      </w:r>
    </w:p>
    <w:p>
      <w:pPr>
        <w:jc w:val="center"/>
      </w:pPr>
      <w:r>
        <w:rPr>
          <w:b/>
          <w:color w:val="1E293B"/>
          <w:sz w:val="28"/>
        </w:rPr>
        <w:t>Cleaning Hygiene And Shared-Use Controls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headsets, belt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77 objective  Complete the troubleshooting laboratory for Cleaning Hygiene And Shared-Use Controls — Troubleshooting and Failure Modes: Explain and demonstrate cleaning hygiene and shared-use controls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cleaning hygiene and shared-use controls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Cleaning Hygiene And Shared-Use Controls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Cleaning Hygiene And Shared-Use Controls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“Cleaning Hygiene And Shared-Use Controls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Cleaning Hygiene And Shared-Use Controls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headsets, beltpacks, measurement tools, hygiene supplies.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headsets, beltpacks, measurement tools, hygiene supplies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Day_77_Cleaning_Hygiene_And_Shared_Use_Controls_Trouble/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Cleaning Hygiene And Shared-Use Controls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77 scope, prerequisite from Day 76,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headsets, beltpacks, measurement tools, hygiene supplies.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Day_077_cleaning_hygiene_and_shared_use_controls__troubleshooting_and_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cleaning hygiene and shared-use controls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Cleaning Hygiene And Shared-Use Controls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"Cleaning Hygiene And Shared-Use Controls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Cleaning Hygiene And Shared-Use Controls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Cleaning Hygiene And Shared-Use Controls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77 (Troubleshooting laboratory) on Cleaning Hygiene And Shared-Use Controls — Troubleshooting and Failure Modes.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