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84 STUDENT HANDBOOK</w:t>
      </w:r>
    </w:p>
    <w:p>
      <w:pPr>
        <w:jc w:val="center"/>
      </w:pPr>
      <w:r>
        <w:rPr>
          <w:b/>
          <w:color w:val="1E293B"/>
          <w:sz w:val="28"/>
        </w:rPr>
        <w:t>Foh Monitor Lighting Video And Camera Channels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production int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84 objective  Complete the guided laboratory for Foh Monitor Lighting Video And Camera Channels — Configuration Lab: Complete a supervised applied lab for FOH monitor lighting video and camera channels,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FOH monitor lighting video and camera channels,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Foh Monitor Lighting Video And Camera Channels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Foh Monitor Lighting Video And Camera Channels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“Foh Monitor Lighting Video And Camera Channels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production intercom, show documentation, cue sheets, radios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production intercom, show documentation, cue sheets, radios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Day_84_Foh_Monitor_Lighting_Video_And_Camera_Channels_C/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Foh Monitor Lighting Video And Camera Channels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84 scope, prerequisite from Day 83,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production intercom, show documentation, cue sheets, radios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Day_084_foh_monitor_lighting_video_and_camera_channels__configuration_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FOH monitor lighting video and camera channels,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Foh Monitor Lighting Video And Camera Channels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"Foh Monitor Lighting Video And Camera Channels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Foh Monitor Lighting Video And Camera Channels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Foh Monitor Lighting Video And Camera Channels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84 (Guided laboratory) on Foh Monitor Lighting Video And Camera Channels — Configuration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