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134 STUDENT HANDBOOK</w:t>
      </w:r>
    </w:p>
    <w:p>
      <w:pPr>
        <w:jc w:val="center"/>
      </w:pPr>
      <w:r>
        <w:rPr>
          <w:b/>
          <w:color w:val="1E293B"/>
          <w:sz w:val="28"/>
        </w:rPr>
        <w:t>Network And Matrix Redundancy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redundant lab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134 objective  Complete the guided laboratory for Network And Matrix Redundancy — Configuration Lab: Complete a supervised applied lab for network and matrix redundancy,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network and matrix redundancy,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Network And Matrix Redundancy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And Matrix Redundancy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And Matrix Redundancy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redundant lab system, spares, runbooks, timers.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redundant lab system, spares, runbooks, timers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Day_134_Network_And_Matrix_Redundancy_Configuration_Lab/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Network And Matrix Redundancy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134 scope, prerequisite from Day 133,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redundant lab system, spares, runbooks, timers.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Day_134_network_and_matrix_redundancy__configuration_lab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network and matrix redundancy,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 And Matrix Redundancy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 And Matrix Redundancy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And Matrix Redundancy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And Matrix Redundancy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134 (Guided laboratory) on Network And Matrix Redundancy — Configuration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