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137 STUDENT HANDBOOK</w:t>
      </w:r>
    </w:p>
    <w:p>
      <w:pPr>
        <w:jc w:val="center"/>
      </w:pPr>
      <w:r>
        <w:rPr>
          <w:b/>
          <w:color w:val="1E293B"/>
          <w:sz w:val="28"/>
        </w:rPr>
        <w:t>Failure Drills Escalation And Recovery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wired/wireless intercom equipment, laptop-based communication tools, redundant lab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137 objective  Complete the troubleshooting laboratory for Failure Drills Escalation And Recovery — Troubleshooting and Failure Modes: Explain and demonstrate failure drills escalation and recovery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failure drills escalation and recovery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Failure Drills Escalation And Recovery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Failure Drills Escalation And Recovery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“Failure Drills Escalation And Recovery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Failure Drills Escalation And Recovery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redundant lab system, spares, runbooks, timers.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redundant lab system, spares, runbooks, timers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Day_137_Failure_Drills_Escalation_And_Recovery_Troublesh/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Failure Drills Escalation And Recovery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137 scope, prerequisite from Day 136,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redundant lab system, spares, runbooks, timers.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Day_137_failure_drills_escalation_and_recovery__troubleshooting_and_fa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failure drills escalation and recovery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Failure Drills Escalation And Recovery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"Failure Drills Escalation And Recovery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Failure Drills Escalation And Recovery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Failure Drills Escalation And Recovery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137 (Troubleshooting laboratory) on Failure Drills Escalation And Recovery — Troubleshooting and Failure Modes.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