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147 STUDENT HANDBOOK</w:t>
      </w:r>
    </w:p>
    <w:p>
      <w:pPr>
        <w:jc w:val="center"/>
      </w:pPr>
      <w:r>
        <w:rPr>
          <w:b/>
          <w:color w:val="1E293B"/>
          <w:sz w:val="28"/>
        </w:rPr>
        <w:t>Evidence Export And Secure Handover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logging tools,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147 objective  Complete the troubleshooting laboratory for Evidence Export And Secure Handover — Troubleshooting and Failure Modes: Explain and demonstrate evidence export and secure handover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evidence export and secure handover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Evidence Export And Secure Handover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Evidence Export And Secure Handover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“Evidence Export And Secure Handover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Evidence Export And Secure Handover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logging tools, documentation, secure storage, time reference.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logging tools, documentation, secure storage, time reference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Day_147_Evidence_Export_And_Secure_Handover_Troubleshoot/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Evidence Export And Secure Handover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147 scope, prerequisite from Day 146,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logging tools, documentation, secure storage, time reference.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Day_147_evidence_export_and_secure_handover__troubleshooting_and_failu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evidence export and secure handover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Evidence Export And Secure Handover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"Evidence Export And Secure Handover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Evidence Export And Secure Handover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Evidence Export And Secure Handover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147 (Troubleshooting laboratory) on Evidence Export And Secure Handover — Troubleshooting and Failure Modes.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