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154 STUDENT HANDBOOK</w:t>
      </w:r>
    </w:p>
    <w:p>
      <w:pPr>
        <w:jc w:val="center"/>
      </w:pPr>
      <w:r>
        <w:rPr>
          <w:b/>
          <w:color w:val="1E293B"/>
          <w:sz w:val="28"/>
        </w:rPr>
        <w:t>Battery Health And Lifecycle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maintenance ki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154 objective  Complete the guided laboratory for Battery Health And Lifecycle — Configuration Lab: Complete a supervised applied lab for battery health and lifecycle,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battery health and lifecycle,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Battery Health And Lifecycle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Battery Health And Lifecycle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“Battery Health And Lifecycle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Battery Health And Lifecycle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maintenance kit, vendor software, asset register,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maintenance kit, vendor software, asset register,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Day_154_Battery_Health_And_Lifecycle_Configuration_Lab/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Battery Health And Lifecycle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154 scope, prerequisite from Day 153,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maintenance kit, vendor software, asset register,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Day_154_battery_health_and_lifecycle__configuration_lab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battery health and lifecycle,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Battery Health And Lifecycle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"Battery Health And Lifecycle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Battery Health And Lifecycle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Battery Health And Lifecycle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154 (Guided laboratory) on Battery Health And Lifecycle — Configuration Lab.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