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155 STUDENT HANDBOOK</w:t>
      </w:r>
    </w:p>
    <w:p>
      <w:pPr>
        <w:jc w:val="center"/>
      </w:pPr>
      <w:r>
        <w:rPr>
          <w:b/>
          <w:color w:val="1E293B"/>
          <w:sz w:val="28"/>
        </w:rPr>
        <w:t>Firmware Compatibility And Rollback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maintenance ki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155 objective  Complete the applied practice for Firmware Compatibility And Rollback — Design and Technique: Explain and demonstrate firmware compatibility and rollback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firmware compatibility and rollback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Firmware Compatibility And Rollback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Firmware Compatibility And Rollback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“Firmware Compatibility And Rollback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Firmware Compatibility And Rollback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maintenance kit, vendor software, asset register,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maintenance kit, vendor software, asset register,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Day_155_Firmware_Compatibility_And_Rollback_Design_and_T/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Firmware Compatibility And Rollback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155 scope, prerequisite from Day 154,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maintenance kit, vendor software, asset register,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Day_155_firmware_compatibility_and_rollback__design_and_technique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firmware compatibility and rollback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Firmware Compatibility And Rollback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"Firmware Compatibility And Rollback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Firmware Compatibility And Rollback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Firmware Compatibility And Rollback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155 (Applied practice) on Firmware Compatibility And Rollback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