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24 STUDENT HANDBOOK</w:t>
      </w:r>
    </w:p>
    <w:p>
      <w:pPr>
        <w:jc w:val="center"/>
      </w:pPr>
      <w:r>
        <w:rPr>
          <w:b/>
          <w:color w:val="1E293B"/>
          <w:sz w:val="28"/>
        </w:rPr>
        <w:t>Led Wash Spot Beam And Hybrid Fixtures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Beyond fixtures, optical access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24 objective  Complete the guided laboratory for Led Wash Spot Beam And Hybrid Fixtures — Configuration Lab: Complete a supervised applied lab for LED wash spot beam and hybrid fixtures,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LED wash spot beam and hybrid fixtures,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Led Wash Spot Beam And Hybrid Fixtures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Led Wash Spot Beam And Hybrid Fixtures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“Led Wash Spot Beam And Hybrid Fixtures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Beyond fixtures, optical accessories, PPE, maintenance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Beyond fixtures, optical accessories, PPE, maintenance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Day_24_Led_Wash_Spot_Beam_And_Hybrid_Fixtures_Configura/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Led Wash Spot Beam And Hybrid Fixtures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24 scope, prerequisite from Day 23,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Beyond fixtures, optical accessories, PPE, maintenance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Day_024_led_wash_spot_beam_and_hybrid_fixtures__configuration_lab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LED wash spot beam and hybrid fixtures,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Led Wash Spot Beam And Hybrid Fixtures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"Led Wash Spot Beam And Hybrid Fixtures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Led Wash Spot Beam And Hybrid Fixtures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Led Wash Spot Beam And Hybrid Fixtures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24 (Guided laboratory) on Led Wash Spot Beam And Hybrid Fixtures — Configuration Lab.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