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43 STUDENT HANDBOOK</w:t>
      </w:r>
    </w:p>
    <w:p>
      <w:pPr>
        <w:jc w:val="center"/>
      </w:pPr>
      <w:r>
        <w:rPr>
          <w:b/>
          <w:color w:val="1E293B"/>
          <w:sz w:val="28"/>
        </w:rPr>
        <w:t>Fixtures Modes Channels And Personalities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lighting console, DMX fixtures,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43 objective  Complete the guided laboratory for Fixtures Modes Channels And Personalities — Architecture and Components: Explain and demonstrate fixtures modes channels and personalities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fixtures modes channels and personalities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Fixtures Modes Channels And Personalities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Fixtures Modes Channels And Personalities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“Fixtures Modes Channels And Personalities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lighting console, DMX fixtures, tester where available,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lighting console, DMX fixtures, tester where available,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Day_43_Fixtures_Modes_Channels_And_Personalities_Archit/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Fixtures Modes Channels And Personalities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43 scope, prerequisite from Day 42,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lighting console, DMX fixtures, tester where available,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Day_043_fixtures_modes_channels_and_personalities__architecture_and_co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fixtures modes channels and personalities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Fixtures Modes Channels And Personalities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"Fixtures Modes Channels And Personalities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Fixtures Modes Channels And Personalities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Fixtures Modes Channels And Personalities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43 (Guided laboratory) on Fixtures Modes Channels And Personalities — Architecture and Components.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