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47 STUDENT HANDBOOK</w:t>
      </w:r>
    </w:p>
    <w:p>
      <w:pPr>
        <w:jc w:val="center"/>
      </w:pPr>
      <w:r>
        <w:rPr>
          <w:b/>
          <w:color w:val="1E293B"/>
          <w:sz w:val="28"/>
        </w:rPr>
        <w:t>Fault Isolation And Documentation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 and controllers, free visualizer software, lighting console, DMX fixtures,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47 objective  Complete the troubleshooting laboratory for Fault Isolation And Documentation — Troubleshooting and Failure Modes: Explain and demonstrate fault isolation and documentation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fault isolation and documentation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Fault Isolation And Documentation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Fault Isolation And Documentation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“Fault Isolation And Documentation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Fault Isolation And Documentation — Troubleshooting and Failure Modes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lighting console, DMX fixtures, tester where available, visualizer.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lighting console, DMX fixtures, tester where available, visualizer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Day_47_Fault_Isolation_And_Documentation_Troubleshootin/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Fault Isolation And Documentation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47 scope, prerequisite from Day 46,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lighting console, DMX fixtures, tester where available, visualizer.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Day_047_fault_isolation_and_documentation__troubleshooting_and_failure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fault isolation and documentation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47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Fault Isolation And Documentation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Troubleshooting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"Fault Isolation And Documentation — Troubleshooting and Failure Modes"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day-47_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Fault Isolation And Documentation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Fault Isolation And Documentation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47 (Troubleshooting laboratory) on Fault Isolation And Documentation — Troubleshooting and Failure Modes.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