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70 STUDENT HANDBOOK</w:t>
      </w:r>
    </w:p>
    <w:p>
      <w:pPr>
        <w:jc w:val="center"/>
      </w:pPr>
      <w:r>
        <w:rPr>
          <w:b/>
          <w:color w:val="1E293B"/>
          <w:sz w:val="28"/>
        </w:rPr>
        <w:t>Rigging and Fixture Hanging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approved lifts/stands, rated ha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70 objective  Complete the assessment and presentation for Rigging and Fixture Hanging — Assessment Project: Plan, execute, verify, present, and safely close an assessment project covering the complete rigging and fixture hanging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rigging and fixture hanging phase.</w:t>
      </w:r>
    </w:p>
    <w:p>
      <w:pPr>
        <w:pStyle w:val="ListBullet"/>
      </w:pPr>
      <w:r>
        <w:rPr>
          <w:b w:val="0"/>
          <w:sz w:val="22"/>
        </w:rPr>
        <w:t>Explain Rigging and Fixture Hanging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Rigging and Fixture Hanging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“Rigging and Fixture Hanging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approved lifts/stands, rated hardware, PPE, fixtures.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approved lifts/stands, rated hardware, PPE, fixtures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Day_70_Rigging_and_Fixture_Hanging_Assessment_Project/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Rigging and Fixture Hanging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70 scope, prerequisite from Day 69,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approved lifts/stands, rated hardware, PPE, fixtures.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Day_070_rigging_and_fixture_hanging__assessment_project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rigging and fixture hanging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Rigging and Fixture Hanging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"Rigging and Fixture Hanging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Rigging and Fixture Hanging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Rigging and Fixture Hanging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70 (Assessment and presentation) on Rigging and Fixture Hanging — Assessment Project.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