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73 STUDENT HANDBOOK</w:t>
      </w:r>
    </w:p>
    <w:p>
      <w:pPr>
        <w:jc w:val="center"/>
      </w:pPr>
      <w:r>
        <w:rPr>
          <w:b/>
          <w:color w:val="1E293B"/>
          <w:sz w:val="28"/>
        </w:rPr>
        <w:t>Key Fill Contrast And Modeling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fixtures, console, stage plan,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73 objective  Complete the guided laboratory for Key Fill Contrast And Modeling — Architecture and Components: Explain and demonstrate key fill contrast and modeling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key fill contrast and modeling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Key Fill Contrast And Modeling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Key Fill Contrast And Modeling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“Key Fill Contrast And Modeling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console, stage plan,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console, stage plan,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Day_73_Key_Fill_Contrast_And_Modeling_Architecture_and_/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Key Fill Contrast And Modeling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73 scope, prerequisite from Day 72,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console, stage plan,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Day_073_key_fill_contrast_and_modeling__architecture_and_components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key fill contrast and modeling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Key Fill Contrast And Modeling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"Key Fill Contrast And Modeling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Key Fill Contrast And Modeling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Key Fill Contrast And Modeling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73 (Guided laboratory) on Key Fill Contrast And Modeling — Architecture and Components.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