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88 STUDENT HANDBOOK</w:t>
      </w:r>
    </w:p>
    <w:p>
      <w:pPr>
        <w:jc w:val="center"/>
      </w:pPr>
      <w:r>
        <w:rPr>
          <w:b/>
          <w:color w:val="1E293B"/>
          <w:sz w:val="28"/>
        </w:rPr>
        <w:t>Skin Tone Scenery Camera And Accessibility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color-mixing fixtures, gels, vi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88 objective  Complete the safety and quality review for Skin Tone Scenery Camera And Accessibility — Safety, Quality, and Verification: Complete a supervised applied lab for skin tone scenery camera and accessibility,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skin tone scenery camera and accessibility,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Skin Tone Scenery Camera And Accessibility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Skin Tone Scenery Camera And Accessibility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“Skin Tone Scenery Camera And Accessibility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Skin Tone Scenery Camera And Accessibility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color-mixing fixtures, gels, visualizer, camera/color meter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color-mixing fixtures, gels, visualizer, camera/color meter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Day_88_Skin_Tone_Scenery_Camera_And_Accessibility_Safet/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Skin Tone Scenery Camera And Accessibility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88 scope, prerequisite from Day 87,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color-mixing fixtures, gels, visualizer, camera/color meter where available.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Day_088_skin_tone_scenery_camera_and_accessibility__safety_quality_and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skin tone scenery camera and accessibility,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Skin Tone Scenery Camera And Accessibility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"Skin Tone Scenery Camera And Accessibility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Skin Tone Scenery Camera And Accessibility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Skin Tone Scenery Camera And Accessibility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88 (Safety and quality review) on Skin Tone Scenery Camera And Accessibility — Safety, Quality, and Verification.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