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89 STUDENT HANDBOOK</w:t>
      </w:r>
    </w:p>
    <w:p>
      <w:pPr>
        <w:jc w:val="center"/>
      </w:pPr>
      <w:r>
        <w:rPr>
          <w:b/>
          <w:color w:val="1E293B"/>
          <w:sz w:val="28"/>
        </w:rPr>
        <w:t>Color and Creative Design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color-mixing fixtures, gels, vi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89 objective  Complete the integration and documentation for Color and Creative Design — Integration, Documentation, and Handover: Integrate the four color and creative design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color and creative design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Color and Creative Design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Color and Creative Design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“Color and Creative Design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Color and Creative Design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color-mixing fixtures, gels, visualizer, camera/color meter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color-mixing fixtures, gels, visualizer, camera/color meter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Day_89_Color_and_Creative_Design_Integration_Documentat/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Color and Creative Design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89 scope, prerequisite from Day 88,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color-mixing fixtures, gels, visualizer, camera/color meter where available.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Day_089_color_and_creative_design__integration_documentation_and_hando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color and creative design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Color and Creative Design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"Color and Creative Design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Color and Creative Design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Color and Creative Design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89 (Integration and documentation) on Color and Creative Design — Integration, Documentation, and Handover.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