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103 STUDENT HANDBOOK</w:t>
      </w:r>
    </w:p>
    <w:p>
      <w:pPr>
        <w:jc w:val="center"/>
      </w:pPr>
      <w:r>
        <w:rPr>
          <w:b/>
          <w:color w:val="1E293B"/>
          <w:sz w:val="28"/>
        </w:rPr>
        <w:t>Gobos Prisms Zoom Focus And Iris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moving fixtures, console, visua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103 objective  Complete the guided laboratory for Gobos Prisms Zoom Focus And Iris — Architecture and Components: Explain and demonstrate gobos prisms zoom focus and iris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gobos prisms zoom focus and iris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Gobos Prisms Zoom Focus And Iris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Gobos Prisms Zoom Focus And Iris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“Gobos Prisms Zoom Focus And Iris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Gobos Prisms Zoom Focus And Iris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moving fixtures, console, visualizer,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moving fixtures, console, visualizer,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Day_103_Gobos_Prisms_Zoom_Focus_And_Iris_Architecture_an/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Gobos Prisms Zoom Focus And Iris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103 scope, prerequisite from Day 102,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moving fixtures, console, visualizer,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Day_103_gobos_prisms_zoom_focus_and_iris__architecture_and_components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gobos prisms zoom focus and iris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Gobos Prisms Zoom Focus And Iris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"Gobos Prisms Zoom Focus And Iris — Architecture and Components"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Gobos Prisms Zoom Focus And Iris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Gobos Prisms Zoom Focus And Iris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103 (Guided laboratory) on Gobos Prisms Zoom Focus And Iris — Architecture and Components.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