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108 STUDENT HANDBOOK</w:t>
      </w:r>
    </w:p>
    <w:p>
      <w:pPr>
        <w:jc w:val="center"/>
      </w:pPr>
      <w:r>
        <w:rPr>
          <w:b/>
          <w:color w:val="1E293B"/>
          <w:sz w:val="28"/>
        </w:rPr>
        <w:t>Haze Strobe And Special-Effect Controls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moving fixtures, console, visua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108 objective  Complete the safety and quality review for Haze Strobe And Special-Effect Controls — Safety, Quality, and Verification: Complete a supervised applied lab for haze strobe and special-effect controls,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haze strobe and special-effect controls,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Haze Strobe And Special-Effect Controls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Haze Strobe And Special-Effect Controls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“Haze Strobe And Special-Effect Controls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moving fixtures, console, visualizer,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moving fixtures, console, visualizer,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Day_108_Haze_Strobe_And_Special_Effect_Controls_Safety_Q/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Haze Strobe And Special-Effect Controls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108 scope, prerequisite from Day 107,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moving fixtures, console, visualizer,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Day_108_haze_strobe_and_special_effect_controls__safety_quality_and_ve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haze strobe and special-effect controls,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Haze Strobe And Special-Effect Controls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"Haze Strobe And Special-Effect Controls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Haze Strobe And Special-Effect Controls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Haze Strobe And Special-Effect Controls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108 (Safety and quality review) on Haze Strobe And Special-Effect Controls — Safety, Quality, and Verification.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