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109 STUDENT HANDBOOK</w:t>
      </w:r>
    </w:p>
    <w:p>
      <w:pPr>
        <w:jc w:val="center"/>
      </w:pPr>
      <w:r>
        <w:rPr>
          <w:b/>
          <w:color w:val="1E293B"/>
          <w:sz w:val="28"/>
        </w:rPr>
        <w:t>Moving Lights and Effects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moving fixtures, console, visua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109 objective  Complete the integration and documentation for Moving Lights and Effects — Integration, Documentation, and Handover: Integrate the four moving lights and effects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moving lights and effects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Moving Lights and Effects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Moving Lights and Effects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“Moving Lights and Effects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moving fixtures, console, visualizer,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moving fixtures, console, visualizer,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Day_109_Moving_Lights_and_Effects_Integration_Documentat/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Moving Lights and Effects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109 scope, prerequisite from Day 108,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moving fixtures, console, visualizer,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Day_109_moving_lights_and_effects__integration_documentation_and_hando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moving lights and effects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Moving Lights and Effects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"Moving Lights and Effects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Moving Lights and Effects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Moving Lights and Effects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109 (Integration and documentation) on Moving Lights and Effects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