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113 STUDENT HANDBOOK</w:t>
      </w:r>
    </w:p>
    <w:p>
      <w:pPr>
        <w:jc w:val="center"/>
      </w:pPr>
      <w:r>
        <w:rPr>
          <w:b/>
          <w:color w:val="1E293B"/>
          <w:sz w:val="28"/>
        </w:rPr>
        <w:t>Plots Patch Sheets Schedules And Cue Lists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CAD/diagram tools, console visu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113 objective  Complete the guided laboratory for Plots Patch Sheets Schedules And Cue Lists — Architecture and Components: Explain and demonstrate plots patch sheets schedules and cue lists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plots patch sheets schedules and cue lists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Plots Patch Sheets Schedules And Cue Lists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Plots Patch Sheets Schedules And Cue Lists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“Plots Patch Sheets Schedules And Cue Lists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Plots Patch Sheets Schedules And Cue Lists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CAD/diagram tools, console visualizer, planning sheets,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CAD/diagram tools, console visualizer, planning sheets,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Day_113_Plots_Patch_Sheets_Schedules_And_Cue_Lists_Archi/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Plots Patch Sheets Schedules And Cue Lists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113 scope, prerequisite from Day 112,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CAD/diagram tools, console visualizer, planning sheets,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Day_113_plots_patch_sheets_schedules_and_cue_lists__architecture_and_c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plots patch sheets schedules and cue lists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Plots Patch Sheets Schedules And Cue Lists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"Plots Patch Sheets Schedules And Cue Lists — Architecture and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Plots Patch Sheets Schedules And Cue Lists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Plots Patch Sheets Schedules And Cue Lists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113 (Guided laboratory) on Plots Patch Sheets Schedules And Cue Lists — Architecture and Components.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