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132 STUDENT HANDBOOK</w:t>
      </w:r>
    </w:p>
    <w:p>
      <w:pPr>
        <w:jc w:val="center"/>
      </w:pPr>
      <w:r>
        <w:rPr>
          <w:b/>
          <w:color w:val="1E293B"/>
          <w:sz w:val="28"/>
        </w:rPr>
        <w:t>Facade Room And Ambience Design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architectural/event fixtures, 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132 objective  Complete the concept development for Facade Room And Ambience Design — Applied Baseline Lab: Complete a supervised applied lab for facade room and ambience design,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facade room and ambience design,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Facade Room And Ambience Design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Facade Room And Ambience Design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“Facade Room And Ambience Design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Facade Room And Ambience Design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architectural/event fixtures, controllers, measurement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architectural/event fixtures, controllers, measurement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Day_132_Facade_Room_And_Ambience_Design_Applied_Baseline/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Facade Room And Ambience Design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132 scope, prerequisite from Day 131,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architectural/event fixtures, controllers, measurement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Day_132_facade_room_and_ambience_design__applied_baseline_lab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facade room and ambience design,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Facade Room And Ambience Design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"Facade Room And Ambience Design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Facade Room And Ambience Design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Facade Room And Ambience Design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132 (Concept development) on Facade Room And Ambience Design — Applied Baseline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