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143 STUDENT HANDBOOK</w:t>
      </w:r>
    </w:p>
    <w:p>
      <w:pPr>
        <w:jc w:val="center"/>
      </w:pPr>
      <w:r>
        <w:rPr>
          <w:b/>
          <w:color w:val="1E293B"/>
          <w:sz w:val="28"/>
        </w:rPr>
        <w:t>Dmx Loss Wrong Address And Flicker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 and controllers, free visualizer software, lighting lab, testers, maintena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143 objective  Complete the guided laboratory for Dmx Loss Wrong Address And Flicker — Architecture and Components: Explain and demonstrate DMX loss wrong address and flicker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DMX loss wrong address and flicker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Dmx Loss Wrong Address And Flicker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Dmx Loss Wrong Address And Flicker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“Dmx Loss Wrong Address And Flicker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 and controllers, free visualizer software, lighting lab, testers, maintenance kit,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 and controllers, free visualizer software, lighting lab, testers, maintenance kit,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Day_143_Dmx_Loss_Wrong_Address_And_Flicker_Architecture_/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Dmx Loss Wrong Address And Flicker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143 scope, prerequisite from Day 142,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fixtures and controllers, free visualizer software, lighting lab, testers, maintenance kit,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Day_143_dmx_loss_wrong_address_and_flicker__architecture_and_component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DMX loss wrong address and flicker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143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Dmx Loss Wrong Address And Flicker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"Dmx Loss Wrong Address And Flicker — Architecture and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day-143_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Dmx Loss Wrong Address And Flicker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Dmx Loss Wrong Address And Flicker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143 (Guided laboratory) on Dmx Loss Wrong Address And Flicker — Architecture and Components.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