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151 STUDENT HANDBOOK</w:t>
      </w:r>
    </w:p>
    <w:p>
      <w:pPr>
        <w:jc w:val="center"/>
      </w:pPr>
      <w:r>
        <w:rPr>
          <w:b/>
          <w:color w:val="1E293B"/>
          <w:sz w:val="28"/>
        </w:rPr>
        <w:t>Macros Executors Pages And Layouts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console, visualizer, playback/t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151 objective  Complete the orientation and setup for Macros Executors Pages And Layouts — Foundations and Vocabulary: Explain and demonstrate macros executors pages and layouts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macros executors pages and layouts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Macros Executors Pages And Layouts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Macros Executors Pages And Layouts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“Macros Executors Pages And Layouts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Macros Executors Pages And Layouts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console, visualizer, playback/timecode tools, fixtures.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console, visualizer, playback/timecode tools, fixtures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Day_151_Macros_Executors_Pages_And_Layouts_Foundations_a/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Macros Executors Pages And Layouts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151 scope, prerequisite from Day 150,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console, visualizer, playback/timecode tools, fixtures.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Day_151_macros_executors_pages_and_layouts__foundations_and_vocabulary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macros executors pages and layouts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Macros Executors Pages And Layouts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"Macros Executors Pages And Layouts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Macros Executors Pages And Layouts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Macros Executors Pages And Layouts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151 (Orientation and setup) on Macros Executors Pages And Layouts — Foundations and Vocabulary.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