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154 STUDENT HANDBOOK</w:t>
      </w:r>
    </w:p>
    <w:p>
      <w:pPr>
        <w:jc w:val="center"/>
      </w:pPr>
      <w:r>
        <w:rPr>
          <w:b/>
          <w:color w:val="1E293B"/>
          <w:sz w:val="28"/>
        </w:rPr>
        <w:t>Cue Timing Tracking And Marking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console, visualizer, playback/t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154 objective  Complete the guided laboratory for Cue Timing Tracking And Marking — Configuration Lab: Complete a supervised applied lab for cue timing tracking and marking,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cue timing tracking and marking,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Cue Timing Tracking And Marking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Cue Timing Tracking And Marking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“Cue Timing Tracking And Marking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Cue Timing Tracking And Marking — Configuration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console, visualizer, playback/timecode tools, fixtures.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console, visualizer, playback/timecode tools, fixtures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Day_154_Cue_Timing_Tracking_And_Marking_Configuration_La/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Cue Timing Tracking And Marking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154 scope, prerequisite from Day 153,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console, visualizer, playback/timecode tools, fixtures.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Day_154_cue_timing_tracking_and_marking__configuration_lab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cue timing tracking and marking,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154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Cue Timing Tracking And Marking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"Cue Timing Tracking And Marking — Configuration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day-154_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Cue Timing Tracking And Marking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Cue Timing Tracking And Marking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154 (Guided laboratory) on Cue Timing Tracking And Marking — Configuration Lab.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