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156 STUDENT HANDBOOK</w:t>
      </w:r>
    </w:p>
    <w:p>
      <w:pPr>
        <w:jc w:val="center"/>
      </w:pPr>
      <w:r>
        <w:rPr>
          <w:b/>
          <w:color w:val="1E293B"/>
          <w:sz w:val="28"/>
        </w:rPr>
        <w:t>Midi Osc And Timecode Concepts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console, visualizer, playback/t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156 objective  Complete the operations and measurement for Midi Osc And Timecode Concepts — Operations and Measurement: Complete a supervised applied lab for MIDI OSC and timecode concepts,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MIDI OSC and timecode concepts,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Midi Osc And Timecode Concepts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Midi Osc And Timecode Concepts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“Midi Osc And Timecode Concepts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console, visualizer, playback/timecode tools, fixtures.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console, visualizer, playback/timecode tools, fixtures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Day_156_Midi_Osc_And_Timecode_Concepts_Operations_and_Me/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Midi Osc And Timecode Concepts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156 scope, prerequisite from Day 155,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console, visualizer, playback/timecode tools, fixtures.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Day_156_midi_osc_and_timecode_concepts__operations_and_measurement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MIDI OSC and timecode concepts,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Midi Osc And Timecode Concepts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"Midi Osc And Timecode Concepts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Midi Osc And Timecode Concepts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Midi Osc And Timecode Concepts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156 (Operations and measurement) on Midi Osc And Timecode Concepts — Operations and Measurement.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