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159 STUDENT HANDBOOK</w:t>
      </w:r>
    </w:p>
    <w:p>
      <w:pPr>
        <w:jc w:val="center"/>
      </w:pPr>
      <w:r>
        <w:rPr>
          <w:b/>
          <w:color w:val="1E293B"/>
          <w:sz w:val="28"/>
        </w:rPr>
        <w:t>Advanced Programming and Timecode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console, visualizer, playback/t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159 objective  Complete the integration and documentation for Advanced Programming and Timecode — Integration, Documentation, and Handover: Integrate the four advanced programming and timecode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advanced programming and timecode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Advanced Programming and Timecode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Advanced Programming and Timecode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“Advanced Programming and Timecode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Advanced Programming and Timecode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console, visualizer, playback/timecode tools, fixtures.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console, visualizer, playback/timecode tools, fixtures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Day_159_Advanced_Programming_and_Timecode_Integration_Do/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Advanced Programming and Timecode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159 scope, prerequisite from Day 158,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console, visualizer, playback/timecode tools, fixtures.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Day_159_advanced_programming_and_timecode__integration_documentation_a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advanced programming and timecode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Advanced Programming and Timecode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"Advanced Programming and Timecode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Advanced Programming and Timecode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Advanced Programming and Timecode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159 (Integration and documentation) on Advanced Programming and Timecode — Integration, Documentation, and Handover.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