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164 STUDENT HANDBOOK</w:t>
      </w:r>
    </w:p>
    <w:p>
      <w:pPr>
        <w:jc w:val="center"/>
      </w:pPr>
      <w:r>
        <w:rPr>
          <w:b/>
          <w:color w:val="1E293B"/>
          <w:sz w:val="28"/>
        </w:rPr>
        <w:t>Load-In Focus Rehearsal Show And Strike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full inventory, PPE, site docum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164 objective  Complete the guided laboratory for Load-In Focus Rehearsal Show And Strike — Configuration Lab: Complete a supervised applied lab for load-in focus rehearsal show and strike,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load-in focus rehearsal show and strike,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Load-In Focus Rehearsal Show And Strike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Load-In Focus Rehearsal Show And Strike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“Load-In Focus Rehearsal Show And Strike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Load-In Focus Rehearsal Show And Strike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inventory, PPE, site documents,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inventory, PPE, site documents,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Day_164_Load_In_Focus_Rehearsal_Show_And_Strike_Configur/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Load-In Focus Rehearsal Show And Strike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164 scope, prerequisite from Day 163,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inventory, PPE, site documents, communication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Day_164_load_in_focus_rehearsal_show_and_strike__configuration_lab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load-in focus rehearsal show and strike,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Load-In Focus Rehearsal Show And Strike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"Load-In Focus Rehearsal Show And Strike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Load-In Focus Rehearsal Show And Strike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Load-In Focus Rehearsal Show And Strike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164 (Guided laboratory) on Load-In Focus Rehearsal Show And Strike — Configuration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