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33 STUDENT HANDBOOK</w:t>
      </w:r>
    </w:p>
    <w:p>
      <w:pPr>
        <w:jc w:val="center"/>
      </w:pPr>
      <w:r>
        <w:rPr>
          <w:b/>
          <w:color w:val="1E293B"/>
          <w:sz w:val="28"/>
        </w:rPr>
        <w:t>Polar Patterns Proximity And Off-Axis Response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stands, mixer, headphones/PPE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33 objective  Complete the guided laboratory for Polar Patterns Proximity And Off-Axis Response — Architecture and Components: Explain and demonstrate polar patterns proximity and off-axis response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polar patterns proximity and off-axis response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Polar Patterns Proximity And Off-Axis Response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Polar Patterns Proximity And Off-Axis Response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“Polar Patterns Proximity And Off-Axis Response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Polar Patterns Proximity And Off-Axis Response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stands, mixer, headphones/PPE.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stands, mixer, headphones/PPE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Day_33_Polar_Patterns_Proximity_And_Off_Axis_Response_A/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Polar Patterns Proximity And Off-Axis Response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33 scope, prerequisite from Day 32,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stands, mixer, headphones/PPE.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Day_033_polar_patterns_proximity_and_off_axis_response__architecture_a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polar patterns proximity and off-axis response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Polar Patterns Proximity And Off-Axis Response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"Polar Patterns Proximity And Off-Axis Response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Polar Patterns Proximity And Off-Axis Response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Polar Patterns Proximity And Off-Axis Response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33 (Guided laboratory) on Polar Patterns Proximity And Off-Axis Response — Architecture and Components.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