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41 STUDENT HANDBOOK</w:t>
      </w:r>
    </w:p>
    <w:p>
      <w:pPr>
        <w:jc w:val="center"/>
      </w:pPr>
      <w:r>
        <w:rPr>
          <w:b/>
          <w:color w:val="1E293B"/>
          <w:sz w:val="28"/>
        </w:rPr>
        <w:t>Channels Buses Matrices And Dca Groups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Beyond mixer, stagebox, headphones,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41 objective  Complete the orientation and setup for Channels Buses Matrices And Dca Groups — Foundations and Vocabulary: Explain and demonstrate channels buses matrices and DCA groups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channels buses matrices and DCA groups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Channels Buses Matrices And Dca Groups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Channels Buses Matrices And Dca Groups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“Channels Buses Matrices And Dca Groups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Channels Buses Matrices And Dca Groups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Beyond mixer, stagebox, headphones,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Beyond mixer, stagebox, headphones,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Day_41_Channels_Buses_Matrices_And_Dca_Groups_Foundatio/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Channels Buses Matrices And Dca Groups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41 scope, prerequisite from Day 40,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Beyond mixer, stagebox, headphones,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Day_041_channels_buses_matrices_and_dca_groups__foundations_and_vocabu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channels buses matrices and DCA groups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Channels Buses Matrices And Dca Groups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"Channels Buses Matrices And Dca Groups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Channels Buses Matrices And Dca Groups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Channels Buses Matrices And Dca Groups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41 (Orientation and setup) on Channels Buses Matrices And Dca Groups — Foundations and Vocabulary.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