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44 STUDENT HANDBOOK</w:t>
      </w:r>
    </w:p>
    <w:p>
      <w:pPr>
        <w:jc w:val="center"/>
      </w:pPr>
      <w:r>
        <w:rPr>
          <w:b/>
          <w:color w:val="1E293B"/>
          <w:sz w:val="28"/>
        </w:rPr>
        <w:t>Preamps Gain Trim Faders And Metering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Beyond mixer, stagebox, headphones,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44 objective  Complete the guided laboratory for Preamps Gain Trim Faders And Metering — Configuration Lab: Complete a supervised applied lab for preamps gain trim faders and metering,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preamps gain trim faders and metering,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Preamps Gain Trim Faders And Metering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Preamps Gain Trim Faders And Metering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“Preamps Gain Trim Faders And Metering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Beyond mixer, stagebox, headphones,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Beyond mixer, stagebox, headphones,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Day_44_Preamps_Gain_Trim_Faders_And_Metering_Configurat/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Preamps Gain Trim Faders And Metering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44 scope, prerequisite from Day 43,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Beyond mixer, stagebox, headphones,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Day_044_preamps_gain_trim_faders_and_metering__configuration_lab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preamps gain trim faders and metering,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Preamps Gain Trim Faders And Metering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"Preamps Gain Trim Faders And Metering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Preamps Gain Trim Faders And Metering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Preamps Gain Trim Faders And Metering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44 (Guided laboratory) on Preamps Gain Trim Faders And Metering — Configuration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