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47 STUDENT HANDBOOK</w:t>
      </w:r>
    </w:p>
    <w:p>
      <w:pPr>
        <w:jc w:val="center"/>
      </w:pPr>
      <w:r>
        <w:rPr>
          <w:b/>
          <w:color w:val="1E293B"/>
          <w:sz w:val="28"/>
        </w:rPr>
        <w:t>Pfl Afl Solo Mute And Safe Monitoring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Beyond mixer, stagebox, headphones,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47 objective  Complete the troubleshooting laboratory for Pfl Afl Solo Mute And Safe Monitoring — Troubleshooting and Failure Modes: Explain and demonstrate PFL AFL solo mute and safe monitoring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PFL AFL solo mute and safe monitoring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Pfl Afl Solo Mute And Safe Monitoring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Pfl Afl Solo Mute And Safe Monitoring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“Pfl Afl Solo Mute And Safe Monitoring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Pfl Afl Solo Mute And Safe Monitoring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Beyond mixer, stagebox, headphones,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Beyond mixer, stagebox, headphones,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Day_47_Pfl_Afl_Solo_Mute_And_Safe_Monitoring_Troublesho/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Pfl Afl Solo Mute And Safe Monitoring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47 scope, prerequisite from Day 46,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Beyond mixer, stagebox, headphones,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Day_047_pfl_afl_solo_mute_and_safe_monitoring__troubleshooting_and_fai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PFL AFL solo mute and safe monitoring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Pfl Afl Solo Mute And Safe Monitoring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"Pfl Afl Solo Mute And Safe Monitoring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Pfl Afl Solo Mute And Safe Monitoring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Pfl Afl Solo Mute And Safe Monitoring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47 (Troubleshooting laboratory) on Pfl Afl Solo Mute And Safe Monitoring — Troubleshooting and Failure Modes.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