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50 STUDENT HANDBOOK</w:t>
      </w:r>
    </w:p>
    <w:p>
      <w:pPr>
        <w:jc w:val="center"/>
      </w:pPr>
      <w:r>
        <w:rPr>
          <w:b/>
          <w:color w:val="1E293B"/>
          <w:sz w:val="28"/>
        </w:rPr>
        <w:t>Mixing Console Fundamentals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Beyond mixer, stagebox, headphones,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50 objective  Complete the assessment and presentation for Mixing Console Fundamentals — Assessment Project: Plan, execute, verify, present, and safely close an assessment project covering the complete mixing console fundamentals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mixing console fundamentals phase.</w:t>
      </w:r>
    </w:p>
    <w:p>
      <w:pPr>
        <w:pStyle w:val="ListBullet"/>
      </w:pPr>
      <w:r>
        <w:rPr>
          <w:b w:val="0"/>
          <w:sz w:val="22"/>
        </w:rPr>
        <w:t>Explain Mixing Console Fundamentals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Mixing Console Fundamentals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“Mixing Console Fundamentals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Beyond mixer, stagebox, headphones,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Beyond mixer, stagebox, headphones,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Day_50_Mixing_Console_Fundamentals_Assessment_Project/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Mixing Console Fundamentals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50 scope, prerequisite from Day 49,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Beyond mixer, stagebox, headphones,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Day_050_mixing_console_fundamentals__assessment_project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mixing console fundamentals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Mixing Console Fundamentals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"Mixing Console Fundamentals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Mixing Console Fundamentals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Mixing Console Fundamentals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50 (Assessment and presentation) on Mixing Console Fundamentals — Assessment Project.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