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52 STUDENT HANDBOOK</w:t>
      </w:r>
    </w:p>
    <w:p>
      <w:pPr>
        <w:jc w:val="center"/>
      </w:pPr>
      <w:r>
        <w:rPr>
          <w:b/>
          <w:color w:val="1E293B"/>
          <w:sz w:val="28"/>
        </w:rPr>
        <w:t>Source Level Preamp And Headroom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mixer, signal generator, SPL/multimeter where approved, speake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52 objective  Complete the concept development for Source Level Preamp And Headroom — Applied Baseline Lab: Complete a supervised applied lab for source level preamp and headroom,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source level preamp and headroom,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Source Level Preamp And Headroom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Source Level Preamp And Headroom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“Source Level Preamp And Headroom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Source Level Preamp And Headroom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mixer, signal generator, SPL/multimeter where approved,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mixer, signal generator, SPL/multimeter where approved,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Day_52_Source_Level_Preamp_And_Headroom_Applied_Baselin/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Source Level Preamp And Headroom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52 scope, prerequisite from Day 51,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mixer, signal generator, SPL/multimeter where approved,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Day_052_source_level_preamp_and_headroom__applied_baseline_lab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source level preamp and headroom,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Source Level Preamp And Headroom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"Source Level Preamp And Headroom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Source Level Preamp And Headroom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Source Level Preamp And Headroom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52 (Concept development) on Source Level Preamp And Headroom — Applied Baseline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